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5964F" w14:textId="593EB1D6" w:rsidR="007C6C08" w:rsidRDefault="00EE46E7" w:rsidP="00AC7079">
      <w:pPr>
        <w:pStyle w:val="Title"/>
        <w:jc w:val="center"/>
      </w:pPr>
      <w:r>
        <w:t xml:space="preserve">Manage </w:t>
      </w:r>
      <w:r w:rsidRPr="00EE46E7">
        <w:t>Concentration Risk</w:t>
      </w:r>
      <w:r>
        <w:t xml:space="preserve"> </w:t>
      </w:r>
      <w:r>
        <w:br/>
      </w:r>
      <w:r w:rsidRPr="00EE46E7">
        <w:t xml:space="preserve">Using </w:t>
      </w:r>
      <w:r w:rsidR="0077063A">
        <w:t>a</w:t>
      </w:r>
      <w:r w:rsidRPr="00EE46E7">
        <w:t xml:space="preserve"> Data</w:t>
      </w:r>
      <w:r w:rsidR="00E97BF4">
        <w:t xml:space="preserve"> W</w:t>
      </w:r>
      <w:r w:rsidRPr="00EE46E7">
        <w:t xml:space="preserve">arehouse, Power </w:t>
      </w:r>
      <w:proofErr w:type="gramStart"/>
      <w:r w:rsidRPr="00EE46E7">
        <w:t>BI</w:t>
      </w:r>
      <w:proofErr w:type="gramEnd"/>
      <w:r w:rsidRPr="00EE46E7">
        <w:t xml:space="preserve"> and Excel</w:t>
      </w:r>
    </w:p>
    <w:p w14:paraId="178725CA" w14:textId="36C17027" w:rsidR="007C6C08" w:rsidRDefault="007C6C08" w:rsidP="007C6C08"/>
    <w:p w14:paraId="06720F31" w14:textId="77777777" w:rsidR="00D84057" w:rsidRDefault="00920DC6" w:rsidP="007C6C08">
      <w:r>
        <w:t xml:space="preserve">This article will </w:t>
      </w:r>
      <w:r w:rsidR="002A6455">
        <w:t>describe an</w:t>
      </w:r>
      <w:r>
        <w:t xml:space="preserve"> integrated </w:t>
      </w:r>
      <w:r w:rsidR="00FB21D2">
        <w:t>approach</w:t>
      </w:r>
      <w:r>
        <w:t xml:space="preserve"> to meet </w:t>
      </w:r>
      <w:r w:rsidR="00984135">
        <w:t>a</w:t>
      </w:r>
      <w:r>
        <w:t xml:space="preserve"> regulatory requirement of the </w:t>
      </w:r>
      <w:r w:rsidR="002A6455">
        <w:t xml:space="preserve">NCUA’s </w:t>
      </w:r>
      <w:r>
        <w:t>Supervisory Letter</w:t>
      </w:r>
      <w:r w:rsidR="002A6455">
        <w:t xml:space="preserve"> -</w:t>
      </w:r>
      <w:r>
        <w:t>Concentration Risk</w:t>
      </w:r>
      <w:r w:rsidR="00161234">
        <w:t>.</w:t>
      </w:r>
      <w:r>
        <w:t xml:space="preserve"> </w:t>
      </w:r>
      <w:r w:rsidR="00161234">
        <w:t>B</w:t>
      </w:r>
      <w:r>
        <w:t xml:space="preserve">y </w:t>
      </w:r>
      <w:r w:rsidR="00161234">
        <w:t>adopting</w:t>
      </w:r>
      <w:r>
        <w:t xml:space="preserve"> a professional data warehouse (such as VeriCU available through The Knowlton-Group), </w:t>
      </w:r>
      <w:r w:rsidR="002A6455">
        <w:t xml:space="preserve">and </w:t>
      </w:r>
      <w:r>
        <w:t>Microsoft’s BI tools, Power BI and Excel</w:t>
      </w:r>
      <w:r w:rsidR="00984135">
        <w:t>,</w:t>
      </w:r>
      <w:r w:rsidR="00161234">
        <w:t xml:space="preserve"> t</w:t>
      </w:r>
      <w:r w:rsidR="000565C5">
        <w:t>he Net Worth Concentration report as shown below</w:t>
      </w:r>
      <w:r w:rsidR="00984135">
        <w:t>,</w:t>
      </w:r>
      <w:r w:rsidR="000565C5">
        <w:t xml:space="preserve"> can </w:t>
      </w:r>
      <w:r w:rsidR="00161234">
        <w:t xml:space="preserve">be generated </w:t>
      </w:r>
      <w:r w:rsidR="000565C5">
        <w:t>contribut</w:t>
      </w:r>
      <w:r w:rsidR="00161234">
        <w:t>ing</w:t>
      </w:r>
      <w:r w:rsidR="000565C5">
        <w:t xml:space="preserve"> to </w:t>
      </w:r>
      <w:r w:rsidR="00161234">
        <w:t>the management of Concentration Risks.</w:t>
      </w:r>
    </w:p>
    <w:p w14:paraId="5606DED0" w14:textId="77777777" w:rsidR="00A55937" w:rsidRDefault="00D92E8D" w:rsidP="00D84057">
      <w:pPr>
        <w:jc w:val="center"/>
      </w:pPr>
      <w:r w:rsidRPr="00D92E8D">
        <w:rPr>
          <w:noProof/>
        </w:rPr>
        <w:lastRenderedPageBreak/>
        <w:drawing>
          <wp:inline distT="0" distB="0" distL="0" distR="0" wp14:anchorId="5EAF117C" wp14:editId="640720D3">
            <wp:extent cx="6281867" cy="577900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71" cy="579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7A88" w14:textId="4FC8A828" w:rsidR="00820661" w:rsidRDefault="00CB2323" w:rsidP="00A55937">
      <w:r>
        <w:t xml:space="preserve">In </w:t>
      </w:r>
      <w:r w:rsidR="00616320">
        <w:t>March 2010,</w:t>
      </w:r>
      <w:r>
        <w:t xml:space="preserve"> the NCUA released the Supervisory Letter – Concentration Risk in response to the Great Recession of 2008 – 2009. Th</w:t>
      </w:r>
      <w:r w:rsidR="00920DC6">
        <w:t xml:space="preserve">is Supervisory Letter </w:t>
      </w:r>
      <w:r>
        <w:t xml:space="preserve">provided </w:t>
      </w:r>
      <w:r w:rsidR="00920DC6">
        <w:t>instructions to</w:t>
      </w:r>
      <w:r>
        <w:t xml:space="preserve"> Credit Unions </w:t>
      </w:r>
      <w:r w:rsidR="002A6455">
        <w:t xml:space="preserve">relating to the </w:t>
      </w:r>
      <w:r>
        <w:t>manag</w:t>
      </w:r>
      <w:r w:rsidR="002A6455">
        <w:t>ement of</w:t>
      </w:r>
      <w:r>
        <w:t xml:space="preserve"> Concentration Risk.</w:t>
      </w:r>
      <w:r w:rsidR="003A6AF9">
        <w:t xml:space="preserve"> The Letter instructed Credit Union</w:t>
      </w:r>
      <w:r w:rsidR="002A6455">
        <w:t>s</w:t>
      </w:r>
      <w:r w:rsidR="003A6AF9">
        <w:t xml:space="preserve"> t</w:t>
      </w:r>
      <w:r w:rsidR="00DB489D">
        <w:t>o</w:t>
      </w:r>
      <w:r w:rsidR="003A6AF9">
        <w:t xml:space="preserve"> </w:t>
      </w:r>
      <w:r w:rsidR="00DB489D">
        <w:t>“identify, measure, monitor and control concentration risk”. The NCUA instructed Credit Unions to “Maintain Comprehensive and Accurate Data” and</w:t>
      </w:r>
      <w:r w:rsidR="005D5F43">
        <w:t xml:space="preserve"> informed them</w:t>
      </w:r>
      <w:r w:rsidR="00DB489D">
        <w:t xml:space="preserve"> </w:t>
      </w:r>
      <w:r w:rsidR="00567AD0">
        <w:t xml:space="preserve">that </w:t>
      </w:r>
      <w:r w:rsidR="00DB489D">
        <w:t xml:space="preserve">“Management reporting must be periodic and timely…”. </w:t>
      </w:r>
    </w:p>
    <w:p w14:paraId="47884AA8" w14:textId="31DE9126" w:rsidR="00055AB4" w:rsidRDefault="00DB6EA8" w:rsidP="0041613C">
      <w:r w:rsidRPr="00C55684">
        <w:rPr>
          <w:b/>
          <w:bCs/>
          <w:u w:val="single"/>
        </w:rPr>
        <w:t>The Data Warehouse Role</w:t>
      </w:r>
      <w:r w:rsidR="00DB489D" w:rsidRPr="003E28C2">
        <w:rPr>
          <w:u w:val="single"/>
        </w:rPr>
        <w:br/>
      </w:r>
      <w:r w:rsidR="00DB489D">
        <w:t xml:space="preserve">The data warehouse is the repository of </w:t>
      </w:r>
      <w:r w:rsidR="00E97BF4">
        <w:t xml:space="preserve">historical </w:t>
      </w:r>
      <w:r w:rsidR="00DB489D">
        <w:t>data a Credit Union needs</w:t>
      </w:r>
      <w:r w:rsidR="00E97BF4">
        <w:t xml:space="preserve">. The data in the data warehouse </w:t>
      </w:r>
      <w:r w:rsidR="00C36788">
        <w:t>is retrieved regularly and</w:t>
      </w:r>
      <w:r w:rsidR="00E97BF4">
        <w:t xml:space="preserve"> directly from the Credit Union</w:t>
      </w:r>
      <w:r w:rsidR="00A00482">
        <w:t>’s</w:t>
      </w:r>
      <w:r w:rsidR="00E97BF4">
        <w:t xml:space="preserve"> core data processing system. The data warehouse </w:t>
      </w:r>
      <w:r w:rsidR="00DE402F">
        <w:t xml:space="preserve">has the </w:t>
      </w:r>
      <w:r w:rsidR="00E97BF4">
        <w:t>requisite</w:t>
      </w:r>
      <w:r w:rsidR="002A6455">
        <w:t xml:space="preserve"> historical</w:t>
      </w:r>
      <w:r w:rsidR="00E97BF4">
        <w:t xml:space="preserve"> data to manage Concentration Risk</w:t>
      </w:r>
      <w:r w:rsidR="002A6455">
        <w:t>,</w:t>
      </w:r>
      <w:r w:rsidR="00E97BF4">
        <w:t xml:space="preserve"> such as </w:t>
      </w:r>
      <w:r w:rsidR="002A6455">
        <w:t xml:space="preserve">loan balances, </w:t>
      </w:r>
      <w:r w:rsidR="00E97BF4">
        <w:t xml:space="preserve">loan type and credit score. </w:t>
      </w:r>
      <w:r w:rsidR="00C36788">
        <w:t xml:space="preserve">The data warehouse is considered “the single source of truth”. </w:t>
      </w:r>
      <w:r w:rsidR="00E97BF4">
        <w:t xml:space="preserve">The </w:t>
      </w:r>
      <w:r w:rsidR="00E97BF4">
        <w:lastRenderedPageBreak/>
        <w:t>data warehouse meets the regulatory requirement to “Maintain Comprehensive and Accurate</w:t>
      </w:r>
      <w:r w:rsidR="002E60C8">
        <w:t xml:space="preserve"> Data</w:t>
      </w:r>
      <w:r w:rsidR="00E97BF4">
        <w:t>”.</w:t>
      </w:r>
      <w:r w:rsidR="00AC7079">
        <w:br/>
      </w:r>
      <w:r w:rsidR="00AC7079">
        <w:br/>
        <w:t xml:space="preserve">Below is a typical set of tables and columns that </w:t>
      </w:r>
      <w:r w:rsidR="002E60C8">
        <w:t>contain</w:t>
      </w:r>
      <w:r w:rsidR="00AC7079">
        <w:t xml:space="preserve"> data residing in </w:t>
      </w:r>
      <w:r w:rsidR="00055AB4">
        <w:t>a</w:t>
      </w:r>
      <w:r w:rsidR="00AC7079">
        <w:t xml:space="preserve"> data warehouse. This is the “Comprehensive and Accurate” data</w:t>
      </w:r>
      <w:r w:rsidR="00D3029A">
        <w:t xml:space="preserve"> and </w:t>
      </w:r>
      <w:r w:rsidR="00DD0BC5">
        <w:t xml:space="preserve">is </w:t>
      </w:r>
      <w:r w:rsidR="00D3029A">
        <w:t xml:space="preserve">importantly available </w:t>
      </w:r>
      <w:r w:rsidR="00AC7079">
        <w:t>on demand.</w:t>
      </w:r>
    </w:p>
    <w:p w14:paraId="36B8360A" w14:textId="77777777" w:rsidR="00616AEE" w:rsidRDefault="00E97BF4" w:rsidP="00365A44">
      <w:pPr>
        <w:jc w:val="center"/>
      </w:pPr>
      <w:r>
        <w:br/>
      </w:r>
      <w:r w:rsidR="00AC7079">
        <w:rPr>
          <w:noProof/>
        </w:rPr>
        <w:drawing>
          <wp:inline distT="0" distB="0" distL="0" distR="0" wp14:anchorId="38002DB9" wp14:editId="4512C0B0">
            <wp:extent cx="4010025" cy="4343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680" cy="43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302C" w14:textId="71072EC0" w:rsidR="0077063A" w:rsidRDefault="00013DAB" w:rsidP="007C6C08">
      <w:r>
        <w:t>I</w:t>
      </w:r>
      <w:r w:rsidR="002E60C8">
        <w:t xml:space="preserve">n the final </w:t>
      </w:r>
      <w:r w:rsidR="002C14BF">
        <w:t xml:space="preserve">Excel </w:t>
      </w:r>
      <w:r w:rsidR="005F1F4C">
        <w:t xml:space="preserve">worksheet that will be built, </w:t>
      </w:r>
      <w:r w:rsidR="002C14BF">
        <w:t>th</w:t>
      </w:r>
      <w:r>
        <w:t>e below</w:t>
      </w:r>
      <w:r w:rsidR="002C14BF">
        <w:t xml:space="preserve"> </w:t>
      </w:r>
      <w:r w:rsidR="002E60C8">
        <w:t>range</w:t>
      </w:r>
      <w:r w:rsidR="002C14BF">
        <w:t xml:space="preserve"> of cells are retrieved directly from the data warehouse. </w:t>
      </w:r>
      <w:r w:rsidR="005F1F4C">
        <w:t>(</w:t>
      </w:r>
      <w:r w:rsidR="004F4DF1">
        <w:t>Note this</w:t>
      </w:r>
      <w:r w:rsidR="00C36788">
        <w:t xml:space="preserve"> range is immediately below </w:t>
      </w:r>
      <w:r w:rsidR="002E60C8">
        <w:t xml:space="preserve">the </w:t>
      </w:r>
      <w:r w:rsidR="00C36788">
        <w:t xml:space="preserve">desired report </w:t>
      </w:r>
      <w:r w:rsidR="00000F89">
        <w:t>starting at cell A40)</w:t>
      </w:r>
      <w:r w:rsidR="00C36788">
        <w:t>.</w:t>
      </w:r>
      <w:r w:rsidR="0041613C">
        <w:t xml:space="preserve"> Getting th</w:t>
      </w:r>
      <w:r w:rsidR="005E6108">
        <w:t xml:space="preserve">is </w:t>
      </w:r>
      <w:r w:rsidR="00706101">
        <w:t>essential</w:t>
      </w:r>
      <w:r w:rsidR="0041613C">
        <w:t xml:space="preserve"> data into Excel </w:t>
      </w:r>
      <w:r w:rsidR="004F4DF1">
        <w:t>will be</w:t>
      </w:r>
      <w:r w:rsidR="0041613C">
        <w:t xml:space="preserve"> described next.</w:t>
      </w:r>
      <w:r w:rsidR="002C14BF">
        <w:rPr>
          <w:noProof/>
        </w:rPr>
        <w:drawing>
          <wp:inline distT="0" distB="0" distL="0" distR="0" wp14:anchorId="2C87354F" wp14:editId="32D32063">
            <wp:extent cx="6858000" cy="1501775"/>
            <wp:effectExtent l="0" t="0" r="0" b="317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5B5">
        <w:br/>
      </w:r>
      <w:r w:rsidR="002E05B5">
        <w:br/>
      </w:r>
      <w:r w:rsidR="00DB6EA8" w:rsidRPr="00C55684">
        <w:rPr>
          <w:b/>
          <w:bCs/>
          <w:u w:val="single"/>
        </w:rPr>
        <w:t>Power BI’s Role</w:t>
      </w:r>
      <w:r w:rsidR="00DB6EA8">
        <w:br/>
      </w:r>
      <w:r w:rsidR="0077063A">
        <w:lastRenderedPageBreak/>
        <w:t>Power BI is Microsoft’s Business Intelligent tool. Power BI quer</w:t>
      </w:r>
      <w:r w:rsidR="0041613C">
        <w:t>ies</w:t>
      </w:r>
      <w:r w:rsidR="0077063A">
        <w:t xml:space="preserve"> </w:t>
      </w:r>
      <w:r w:rsidR="0041613C">
        <w:t>and loads</w:t>
      </w:r>
      <w:r w:rsidR="0077063A">
        <w:t xml:space="preserve"> the </w:t>
      </w:r>
      <w:r w:rsidR="0041613C">
        <w:t xml:space="preserve">data </w:t>
      </w:r>
      <w:r w:rsidR="007576AE">
        <w:t>from</w:t>
      </w:r>
      <w:r w:rsidR="0041613C">
        <w:t xml:space="preserve"> the </w:t>
      </w:r>
      <w:r w:rsidR="0077063A">
        <w:t xml:space="preserve">data warehouse. A </w:t>
      </w:r>
      <w:r w:rsidR="00866B1A">
        <w:t>use</w:t>
      </w:r>
      <w:r w:rsidR="0077063A">
        <w:t>r can build formulas and visuals</w:t>
      </w:r>
      <w:r w:rsidR="008576E7">
        <w:t xml:space="preserve"> in Power BI</w:t>
      </w:r>
      <w:r w:rsidR="00D64C99">
        <w:t xml:space="preserve"> using this data</w:t>
      </w:r>
      <w:r w:rsidR="0077063A">
        <w:t>. Th</w:t>
      </w:r>
      <w:r w:rsidR="00D64C99">
        <w:t>is</w:t>
      </w:r>
      <w:r w:rsidR="0077063A">
        <w:t xml:space="preserve"> loaded data </w:t>
      </w:r>
      <w:r w:rsidR="00DB6EA8">
        <w:t>(from the data warehouse) plus</w:t>
      </w:r>
      <w:r w:rsidR="0077063A">
        <w:t xml:space="preserve"> the add</w:t>
      </w:r>
      <w:r w:rsidR="00F15492">
        <w:t>itional</w:t>
      </w:r>
      <w:r w:rsidR="0077063A">
        <w:t xml:space="preserve"> formulas </w:t>
      </w:r>
      <w:r w:rsidR="00DB6EA8">
        <w:t>become</w:t>
      </w:r>
      <w:r w:rsidR="0077063A">
        <w:t xml:space="preserve"> </w:t>
      </w:r>
      <w:r w:rsidR="006F3240" w:rsidRPr="006F3240">
        <w:rPr>
          <w:u w:val="single"/>
        </w:rPr>
        <w:t xml:space="preserve">data </w:t>
      </w:r>
      <w:r w:rsidR="0077063A" w:rsidRPr="00DD5B0A">
        <w:rPr>
          <w:u w:val="single"/>
        </w:rPr>
        <w:t>elements of the Power BI datase</w:t>
      </w:r>
      <w:r w:rsidR="00DB6EA8" w:rsidRPr="00DD5B0A">
        <w:rPr>
          <w:u w:val="single"/>
        </w:rPr>
        <w:t>t</w:t>
      </w:r>
      <w:r w:rsidR="0077063A">
        <w:t>.</w:t>
      </w:r>
      <w:r w:rsidR="00DB6EA8">
        <w:t xml:space="preserve"> </w:t>
      </w:r>
      <w:r w:rsidR="00C36788">
        <w:br/>
      </w:r>
      <w:r w:rsidR="00C36788">
        <w:br/>
      </w:r>
      <w:r w:rsidR="008576E7">
        <w:t xml:space="preserve">Below is a Power BI report that has some of the data grids as the desired report. However, </w:t>
      </w:r>
      <w:r w:rsidR="00B24DB6">
        <w:t>it lacks the</w:t>
      </w:r>
      <w:r w:rsidR="008576E7">
        <w:t xml:space="preserve"> Board Approved Limits section </w:t>
      </w:r>
      <w:r w:rsidR="00A00F91">
        <w:t>and</w:t>
      </w:r>
      <w:r w:rsidR="008576E7">
        <w:t xml:space="preserve"> the subsequent variance section. This is because the data warehouse does not store static</w:t>
      </w:r>
      <w:r w:rsidR="009D6A68">
        <w:t xml:space="preserve"> one-time</w:t>
      </w:r>
      <w:r w:rsidR="008576E7">
        <w:t xml:space="preserve"> data like the Board Approved Limits.</w:t>
      </w:r>
    </w:p>
    <w:p w14:paraId="5B4FA432" w14:textId="11CD933E" w:rsidR="00E70B80" w:rsidRDefault="00870E6C" w:rsidP="00B874D1">
      <w:pPr>
        <w:jc w:val="center"/>
      </w:pPr>
      <w:r w:rsidRPr="00870E6C">
        <w:rPr>
          <w:noProof/>
        </w:rPr>
        <w:drawing>
          <wp:inline distT="0" distB="0" distL="0" distR="0" wp14:anchorId="3A7DB6B6" wp14:editId="70327C54">
            <wp:extent cx="6377354" cy="3002080"/>
            <wp:effectExtent l="0" t="0" r="444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9499" cy="30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9C08" w14:textId="47D8D606" w:rsidR="000901C0" w:rsidRDefault="008576E7" w:rsidP="000901C0">
      <w:r>
        <w:t xml:space="preserve">So, </w:t>
      </w:r>
      <w:r w:rsidR="0041613C">
        <w:t>how</w:t>
      </w:r>
      <w:r>
        <w:t xml:space="preserve"> is Power BI contributing to the desired repor</w:t>
      </w:r>
      <w:r w:rsidR="00A00F91">
        <w:t>t</w:t>
      </w:r>
      <w:r w:rsidR="0041613C">
        <w:t>?</w:t>
      </w:r>
      <w:r>
        <w:t xml:space="preserve"> </w:t>
      </w:r>
      <w:r w:rsidR="00F718F7" w:rsidRPr="009D6A68">
        <w:rPr>
          <w:u w:val="single"/>
        </w:rPr>
        <w:t xml:space="preserve">The </w:t>
      </w:r>
      <w:r w:rsidR="0020557E" w:rsidRPr="009D6A68">
        <w:rPr>
          <w:u w:val="single"/>
        </w:rPr>
        <w:t xml:space="preserve">Power BI dataset </w:t>
      </w:r>
      <w:r w:rsidR="00F718F7" w:rsidRPr="009D6A68">
        <w:rPr>
          <w:u w:val="single"/>
        </w:rPr>
        <w:t xml:space="preserve">of </w:t>
      </w:r>
      <w:r w:rsidR="00AA06CF" w:rsidRPr="009D6A68">
        <w:rPr>
          <w:u w:val="single"/>
        </w:rPr>
        <w:t>a</w:t>
      </w:r>
      <w:r w:rsidR="006276B6" w:rsidRPr="009D6A68">
        <w:rPr>
          <w:u w:val="single"/>
        </w:rPr>
        <w:t>ll the</w:t>
      </w:r>
      <w:r w:rsidR="00000F89" w:rsidRPr="009D6A68">
        <w:rPr>
          <w:u w:val="single"/>
        </w:rPr>
        <w:t xml:space="preserve"> </w:t>
      </w:r>
      <w:r w:rsidR="00AA06CF" w:rsidRPr="009D6A68">
        <w:rPr>
          <w:u w:val="single"/>
        </w:rPr>
        <w:t xml:space="preserve">date warehouse </w:t>
      </w:r>
      <w:r w:rsidR="00000F89" w:rsidRPr="009D6A68">
        <w:rPr>
          <w:u w:val="single"/>
        </w:rPr>
        <w:t>fields</w:t>
      </w:r>
      <w:r w:rsidR="006276B6" w:rsidRPr="009D6A68">
        <w:rPr>
          <w:u w:val="single"/>
        </w:rPr>
        <w:t xml:space="preserve"> </w:t>
      </w:r>
      <w:r w:rsidR="0041613C" w:rsidRPr="009D6A68">
        <w:rPr>
          <w:u w:val="single"/>
        </w:rPr>
        <w:t xml:space="preserve">and </w:t>
      </w:r>
      <w:r w:rsidR="00E36FF1" w:rsidRPr="009D6A68">
        <w:rPr>
          <w:u w:val="single"/>
        </w:rPr>
        <w:t xml:space="preserve">the additional </w:t>
      </w:r>
      <w:r w:rsidR="0041613C" w:rsidRPr="009D6A68">
        <w:rPr>
          <w:u w:val="single"/>
        </w:rPr>
        <w:t xml:space="preserve">formulas </w:t>
      </w:r>
      <w:r w:rsidR="006276B6" w:rsidRPr="009D6A68">
        <w:rPr>
          <w:u w:val="single"/>
        </w:rPr>
        <w:t xml:space="preserve">can be </w:t>
      </w:r>
      <w:r w:rsidR="0041613C" w:rsidRPr="009D6A68">
        <w:rPr>
          <w:u w:val="single"/>
        </w:rPr>
        <w:t>referenced in Excel</w:t>
      </w:r>
      <w:r w:rsidR="00000F89">
        <w:t xml:space="preserve">. </w:t>
      </w:r>
    </w:p>
    <w:p w14:paraId="500DAABF" w14:textId="0A919004" w:rsidR="00230005" w:rsidRDefault="00000F89" w:rsidP="000248E4">
      <w:pPr>
        <w:jc w:val="center"/>
      </w:pPr>
      <w:r>
        <w:rPr>
          <w:noProof/>
        </w:rPr>
        <w:lastRenderedPageBreak/>
        <w:drawing>
          <wp:inline distT="0" distB="0" distL="0" distR="0" wp14:anchorId="7819A7C6" wp14:editId="1FFB0DF2">
            <wp:extent cx="2490952" cy="3625619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97" cy="363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00971" w14:textId="54705D43" w:rsidR="00173E5B" w:rsidRDefault="00DB6EA8" w:rsidP="00173E5B">
      <w:r w:rsidRPr="00C920FF">
        <w:rPr>
          <w:b/>
          <w:bCs/>
          <w:u w:val="single"/>
        </w:rPr>
        <w:t>Excel</w:t>
      </w:r>
      <w:r w:rsidR="006F04A0">
        <w:rPr>
          <w:b/>
          <w:bCs/>
          <w:u w:val="single"/>
        </w:rPr>
        <w:t>’</w:t>
      </w:r>
      <w:r w:rsidRPr="00C920FF">
        <w:rPr>
          <w:b/>
          <w:bCs/>
          <w:u w:val="single"/>
        </w:rPr>
        <w:t>s Role</w:t>
      </w:r>
      <w:r>
        <w:br/>
      </w:r>
      <w:r w:rsidR="00173E5B">
        <w:t>Excel retrieves data from the Power BI dataset to build the desired report. This is accomplished by choosing:</w:t>
      </w:r>
    </w:p>
    <w:p w14:paraId="7BB72C62" w14:textId="77777777" w:rsidR="00173E5B" w:rsidRDefault="00173E5B" w:rsidP="00173E5B">
      <w:pPr>
        <w:pStyle w:val="ListParagraph"/>
        <w:numPr>
          <w:ilvl w:val="0"/>
          <w:numId w:val="6"/>
        </w:numPr>
      </w:pPr>
      <w:r>
        <w:t>The Data Tab</w:t>
      </w:r>
    </w:p>
    <w:p w14:paraId="3D2EA0DD" w14:textId="48E1EE19" w:rsidR="00173E5B" w:rsidRDefault="00173E5B" w:rsidP="00173E5B">
      <w:pPr>
        <w:pStyle w:val="ListParagraph"/>
        <w:numPr>
          <w:ilvl w:val="0"/>
          <w:numId w:val="6"/>
        </w:numPr>
      </w:pPr>
      <w:r>
        <w:t xml:space="preserve">The Get &amp; Transform Group (hidden behind the </w:t>
      </w:r>
      <w:r w:rsidR="00CE4295">
        <w:t>drop-down menu)</w:t>
      </w:r>
    </w:p>
    <w:p w14:paraId="40DE2277" w14:textId="77777777" w:rsidR="00173E5B" w:rsidRDefault="00173E5B" w:rsidP="00173E5B">
      <w:pPr>
        <w:pStyle w:val="ListParagraph"/>
        <w:numPr>
          <w:ilvl w:val="0"/>
          <w:numId w:val="6"/>
        </w:numPr>
      </w:pPr>
      <w:r>
        <w:t>The Get Data command</w:t>
      </w:r>
    </w:p>
    <w:p w14:paraId="24DD0374" w14:textId="77777777" w:rsidR="00173E5B" w:rsidRDefault="00173E5B" w:rsidP="00173E5B">
      <w:pPr>
        <w:pStyle w:val="ListParagraph"/>
        <w:numPr>
          <w:ilvl w:val="0"/>
          <w:numId w:val="6"/>
        </w:numPr>
      </w:pPr>
      <w:r>
        <w:t xml:space="preserve">The From Power </w:t>
      </w:r>
      <w:r w:rsidRPr="00B55310">
        <w:rPr>
          <w:u w:val="single"/>
        </w:rPr>
        <w:t>B</w:t>
      </w:r>
      <w:r>
        <w:t>I menu item</w:t>
      </w:r>
    </w:p>
    <w:p w14:paraId="63BD5F66" w14:textId="5F697BF1" w:rsidR="007E3D02" w:rsidRDefault="00C45AA6" w:rsidP="007E3D02">
      <w:pPr>
        <w:jc w:val="center"/>
      </w:pPr>
      <w:r>
        <w:rPr>
          <w:noProof/>
        </w:rPr>
        <w:lastRenderedPageBreak/>
        <w:drawing>
          <wp:inline distT="0" distB="0" distL="0" distR="0" wp14:anchorId="6CC4B200" wp14:editId="4ECA425C">
            <wp:extent cx="4797968" cy="4663844"/>
            <wp:effectExtent l="0" t="0" r="3175" b="3810"/>
            <wp:docPr id="26" name="Picture 2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68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7F4B" w14:textId="77777777" w:rsidR="00A52564" w:rsidRDefault="007E4DDC" w:rsidP="00A52564">
      <w:r>
        <w:t>Excel open</w:t>
      </w:r>
      <w:r w:rsidR="0041613C">
        <w:t>s</w:t>
      </w:r>
      <w:r>
        <w:t xml:space="preserve"> a window for a list of available </w:t>
      </w:r>
      <w:r w:rsidR="006F04A0">
        <w:t>datasets</w:t>
      </w:r>
      <w:r>
        <w:t>.</w:t>
      </w:r>
    </w:p>
    <w:p w14:paraId="74094C7F" w14:textId="77777777" w:rsidR="00A52564" w:rsidRDefault="00000F89" w:rsidP="007E3D02">
      <w:pPr>
        <w:jc w:val="center"/>
      </w:pPr>
      <w:r>
        <w:rPr>
          <w:noProof/>
        </w:rPr>
        <w:drawing>
          <wp:inline distT="0" distB="0" distL="0" distR="0" wp14:anchorId="24DCF64F" wp14:editId="12C4DC06">
            <wp:extent cx="2481453" cy="2348363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53" cy="234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B91B3" w14:textId="2BF981A5" w:rsidR="00CC1FF0" w:rsidRDefault="002774DA" w:rsidP="00A52564">
      <w:r>
        <w:t xml:space="preserve">Upon choosing </w:t>
      </w:r>
      <w:r w:rsidR="00E072CC">
        <w:t>a</w:t>
      </w:r>
      <w:r w:rsidR="0041613C">
        <w:t xml:space="preserve"> </w:t>
      </w:r>
      <w:r>
        <w:t>Power BI dataset</w:t>
      </w:r>
      <w:r w:rsidR="0041613C">
        <w:t>,</w:t>
      </w:r>
      <w:r>
        <w:t xml:space="preserve"> Excel launches a Pivot Table with the PivotTable Fields</w:t>
      </w:r>
      <w:r w:rsidR="00D251EE">
        <w:t>.</w:t>
      </w:r>
      <w:r w:rsidR="00CE4313">
        <w:t xml:space="preserve"> Note in the PivotTable </w:t>
      </w:r>
      <w:r w:rsidR="001937AA">
        <w:t xml:space="preserve">that the dataset name is viewable </w:t>
      </w:r>
      <w:r w:rsidR="00F2578F">
        <w:t xml:space="preserve">– </w:t>
      </w:r>
      <w:proofErr w:type="gramStart"/>
      <w:r w:rsidR="00F2578F">
        <w:t>“</w:t>
      </w:r>
      <w:r w:rsidR="00763964">
        <w:t xml:space="preserve"> 03</w:t>
      </w:r>
      <w:proofErr w:type="gramEnd"/>
      <w:r w:rsidR="00763964">
        <w:t>_24__Loan_Credi</w:t>
      </w:r>
      <w:r w:rsidR="00D45876">
        <w:t>t”.</w:t>
      </w:r>
      <w:r w:rsidR="00117EE0">
        <w:br/>
      </w:r>
    </w:p>
    <w:p w14:paraId="279E2F6A" w14:textId="1B9E6676" w:rsidR="0077063A" w:rsidRDefault="00F643F5" w:rsidP="007C6C08">
      <w:r>
        <w:rPr>
          <w:noProof/>
        </w:rPr>
        <w:lastRenderedPageBreak/>
        <w:drawing>
          <wp:inline distT="0" distB="0" distL="0" distR="0" wp14:anchorId="26CD8C98" wp14:editId="7A761E33">
            <wp:extent cx="6858594" cy="6468417"/>
            <wp:effectExtent l="0" t="0" r="0" b="8890"/>
            <wp:docPr id="27" name="Picture 27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table, Exce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594" cy="64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AC9D" w14:textId="77777777" w:rsidR="006B345C" w:rsidRDefault="006B345C">
      <w:r>
        <w:br w:type="page"/>
      </w:r>
    </w:p>
    <w:p w14:paraId="76034116" w14:textId="4D37ECC9" w:rsidR="00D3462D" w:rsidRDefault="006F04A0" w:rsidP="00D3462D">
      <w:r>
        <w:lastRenderedPageBreak/>
        <w:t xml:space="preserve">The next step is </w:t>
      </w:r>
      <w:r w:rsidR="002774DA">
        <w:t xml:space="preserve">to build a PivotTable with the </w:t>
      </w:r>
      <w:r w:rsidR="00CE1DFF">
        <w:t>necessary</w:t>
      </w:r>
      <w:r w:rsidR="002774DA">
        <w:t xml:space="preserve"> data</w:t>
      </w:r>
      <w:r w:rsidR="00C12FED">
        <w:t>.</w:t>
      </w:r>
      <w:r w:rsidR="00D3462D">
        <w:t xml:space="preserve"> </w:t>
      </w:r>
      <w:r w:rsidR="00EE42A3">
        <w:t xml:space="preserve">Place the PivotTable Fields </w:t>
      </w:r>
      <w:r w:rsidR="00D251EE">
        <w:t xml:space="preserve">in </w:t>
      </w:r>
      <w:r w:rsidR="00EE42A3">
        <w:t xml:space="preserve">the following </w:t>
      </w:r>
      <w:r w:rsidR="000A482A">
        <w:t>sections:</w:t>
      </w:r>
    </w:p>
    <w:p w14:paraId="6EE3D55E" w14:textId="77777777" w:rsidR="00775B0F" w:rsidRPr="00775B0F" w:rsidRDefault="00D3462D" w:rsidP="00775B0F">
      <w:pPr>
        <w:pStyle w:val="ListParagraph"/>
        <w:numPr>
          <w:ilvl w:val="0"/>
          <w:numId w:val="1"/>
        </w:numPr>
        <w:rPr>
          <w:b/>
          <w:bCs/>
        </w:rPr>
      </w:pPr>
      <w:r>
        <w:t>On Filters</w:t>
      </w:r>
      <w:r w:rsidR="00C12FED">
        <w:t xml:space="preserve"> </w:t>
      </w:r>
      <w:r w:rsidR="000563DA">
        <w:t xml:space="preserve">place </w:t>
      </w:r>
      <w:r w:rsidRPr="00775B0F">
        <w:rPr>
          <w:b/>
          <w:bCs/>
        </w:rPr>
        <w:t>Account Status</w:t>
      </w:r>
      <w:r w:rsidR="00840F27" w:rsidRPr="00775B0F">
        <w:rPr>
          <w:b/>
          <w:bCs/>
        </w:rPr>
        <w:t xml:space="preserve"> </w:t>
      </w:r>
      <w:r w:rsidRPr="00775B0F">
        <w:rPr>
          <w:b/>
          <w:bCs/>
        </w:rPr>
        <w:t>-</w:t>
      </w:r>
      <w:r w:rsidR="00C12FED" w:rsidRPr="00775B0F">
        <w:rPr>
          <w:b/>
          <w:bCs/>
        </w:rPr>
        <w:t xml:space="preserve"> </w:t>
      </w:r>
      <w:r w:rsidR="00BB27F6" w:rsidRPr="00775B0F">
        <w:rPr>
          <w:b/>
          <w:bCs/>
        </w:rPr>
        <w:t>Account Status Code</w:t>
      </w:r>
      <w:r w:rsidR="00BB27F6">
        <w:t xml:space="preserve"> </w:t>
      </w:r>
      <w:r>
        <w:t xml:space="preserve">and </w:t>
      </w:r>
      <w:r w:rsidRPr="00775B0F">
        <w:rPr>
          <w:b/>
          <w:bCs/>
        </w:rPr>
        <w:t>Process Date</w:t>
      </w:r>
      <w:proofErr w:type="gramStart"/>
      <w:r w:rsidR="00840F27" w:rsidRPr="00775B0F">
        <w:rPr>
          <w:b/>
          <w:bCs/>
        </w:rPr>
        <w:t xml:space="preserve">- </w:t>
      </w:r>
      <w:r w:rsidRPr="00775B0F">
        <w:rPr>
          <w:b/>
          <w:bCs/>
        </w:rPr>
        <w:t xml:space="preserve"> </w:t>
      </w:r>
      <w:proofErr w:type="spellStart"/>
      <w:r w:rsidRPr="00775B0F">
        <w:rPr>
          <w:b/>
          <w:bCs/>
        </w:rPr>
        <w:t>MonthYear</w:t>
      </w:r>
      <w:proofErr w:type="spellEnd"/>
      <w:proofErr w:type="gramEnd"/>
      <w:r w:rsidR="000563DA">
        <w:t>,</w:t>
      </w:r>
    </w:p>
    <w:p w14:paraId="42D8AD53" w14:textId="77777777" w:rsidR="00775B0F" w:rsidRDefault="000563DA" w:rsidP="00775B0F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On Columns place </w:t>
      </w:r>
      <w:r w:rsidR="00D3462D" w:rsidRPr="00775B0F">
        <w:rPr>
          <w:b/>
          <w:bCs/>
        </w:rPr>
        <w:t xml:space="preserve">Product - </w:t>
      </w:r>
      <w:r w:rsidR="00BB27F6" w:rsidRPr="00775B0F">
        <w:rPr>
          <w:b/>
          <w:bCs/>
        </w:rPr>
        <w:t>PRODUCT_</w:t>
      </w:r>
      <w:r w:rsidR="00C12FED" w:rsidRPr="00775B0F">
        <w:rPr>
          <w:b/>
          <w:bCs/>
        </w:rPr>
        <w:t>C</w:t>
      </w:r>
      <w:r w:rsidR="00BB27F6" w:rsidRPr="00775B0F">
        <w:rPr>
          <w:b/>
          <w:bCs/>
        </w:rPr>
        <w:t>A</w:t>
      </w:r>
      <w:r w:rsidR="00C12FED" w:rsidRPr="00775B0F">
        <w:rPr>
          <w:b/>
          <w:bCs/>
        </w:rPr>
        <w:t>T</w:t>
      </w:r>
      <w:r w:rsidR="00BB27F6" w:rsidRPr="00775B0F">
        <w:rPr>
          <w:b/>
          <w:bCs/>
        </w:rPr>
        <w:t>EGORY</w:t>
      </w:r>
    </w:p>
    <w:p w14:paraId="7C3ED482" w14:textId="77777777" w:rsidR="00775B0F" w:rsidRDefault="000563DA" w:rsidP="00775B0F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On Rows place </w:t>
      </w:r>
      <w:r w:rsidR="006B345C" w:rsidRPr="00775B0F">
        <w:rPr>
          <w:b/>
          <w:bCs/>
        </w:rPr>
        <w:t xml:space="preserve">Loan Account Details - </w:t>
      </w:r>
      <w:r w:rsidR="00BB27F6" w:rsidRPr="00775B0F">
        <w:rPr>
          <w:b/>
          <w:bCs/>
        </w:rPr>
        <w:t>Risk Grade</w:t>
      </w:r>
    </w:p>
    <w:p w14:paraId="4C6F3408" w14:textId="77777777" w:rsidR="00775B0F" w:rsidRPr="00775B0F" w:rsidRDefault="000563DA" w:rsidP="00775B0F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On Values place </w:t>
      </w:r>
      <w:r w:rsidR="006B345C" w:rsidRPr="00775B0F">
        <w:rPr>
          <w:b/>
          <w:bCs/>
        </w:rPr>
        <w:t xml:space="preserve">Loan Balance Measures - </w:t>
      </w:r>
      <w:r w:rsidR="00BB27F6" w:rsidRPr="00775B0F">
        <w:rPr>
          <w:b/>
          <w:bCs/>
        </w:rPr>
        <w:t>Total Current Balance &lt;&gt; 0</w:t>
      </w:r>
      <w:r w:rsidR="00C12FED">
        <w:t xml:space="preserve"> </w:t>
      </w:r>
    </w:p>
    <w:p w14:paraId="6FAD07F5" w14:textId="2FAC53C8" w:rsidR="00765A04" w:rsidRPr="00775B0F" w:rsidRDefault="00665313" w:rsidP="00775B0F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In </w:t>
      </w:r>
      <w:r w:rsidR="00580E96">
        <w:t xml:space="preserve">the </w:t>
      </w:r>
      <w:r>
        <w:t>Filter se</w:t>
      </w:r>
      <w:r w:rsidR="00580E96">
        <w:t>ction</w:t>
      </w:r>
      <w:r w:rsidR="004D0E35">
        <w:t xml:space="preserve"> </w:t>
      </w:r>
      <w:proofErr w:type="gramStart"/>
      <w:r w:rsidR="004D0E35">
        <w:t xml:space="preserve">set </w:t>
      </w:r>
      <w:r>
        <w:t xml:space="preserve"> </w:t>
      </w:r>
      <w:r w:rsidRPr="00775B0F">
        <w:rPr>
          <w:b/>
          <w:bCs/>
        </w:rPr>
        <w:t>ACCOUNT</w:t>
      </w:r>
      <w:proofErr w:type="gramEnd"/>
      <w:r w:rsidRPr="00775B0F">
        <w:rPr>
          <w:b/>
          <w:bCs/>
        </w:rPr>
        <w:t>_STATUS_CODE to “Open”</w:t>
      </w:r>
      <w:r>
        <w:t xml:space="preserve"> and </w:t>
      </w:r>
      <w:proofErr w:type="spellStart"/>
      <w:r w:rsidRPr="00775B0F">
        <w:rPr>
          <w:b/>
          <w:bCs/>
        </w:rPr>
        <w:t>MonthYear</w:t>
      </w:r>
      <w:proofErr w:type="spellEnd"/>
      <w:r w:rsidRPr="00775B0F">
        <w:rPr>
          <w:b/>
          <w:bCs/>
        </w:rPr>
        <w:t xml:space="preserve"> to “</w:t>
      </w:r>
      <w:r w:rsidR="007E4FB2">
        <w:rPr>
          <w:b/>
          <w:bCs/>
        </w:rPr>
        <w:t>Sep</w:t>
      </w:r>
      <w:r w:rsidRPr="00775B0F">
        <w:rPr>
          <w:b/>
          <w:bCs/>
        </w:rPr>
        <w:t>-2020”</w:t>
      </w:r>
    </w:p>
    <w:p w14:paraId="051DD707" w14:textId="0C2B76EB" w:rsidR="00CC1FF0" w:rsidRDefault="00CC1FF0" w:rsidP="00CC1FF0">
      <w:r>
        <w:t>Below is the resulting PivotTable</w:t>
      </w:r>
      <w:r>
        <w:br/>
      </w:r>
    </w:p>
    <w:p w14:paraId="4229B9A1" w14:textId="00D64C7B" w:rsidR="00115DAF" w:rsidRDefault="00115DAF" w:rsidP="007C6C08">
      <w:r>
        <w:rPr>
          <w:noProof/>
        </w:rPr>
        <w:drawing>
          <wp:inline distT="0" distB="0" distL="0" distR="0" wp14:anchorId="3840CD12" wp14:editId="5A6EC0DF">
            <wp:extent cx="6767147" cy="3773751"/>
            <wp:effectExtent l="0" t="0" r="0" b="0"/>
            <wp:docPr id="19" name="Picture 19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table, Exce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147" cy="37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2824" w14:textId="55C32549" w:rsidR="00D251EE" w:rsidRDefault="00D251EE" w:rsidP="007C6C08"/>
    <w:p w14:paraId="02F53F41" w14:textId="7CB35527" w:rsidR="000A482A" w:rsidRDefault="00C12FED" w:rsidP="007C6C08">
      <w:r>
        <w:t>B</w:t>
      </w:r>
      <w:r w:rsidR="00833E96">
        <w:t>ut PivotTable</w:t>
      </w:r>
      <w:r w:rsidR="007C5C96">
        <w:t>s</w:t>
      </w:r>
      <w:r w:rsidR="00833E96">
        <w:t xml:space="preserve"> </w:t>
      </w:r>
      <w:r w:rsidR="007C5C96">
        <w:t xml:space="preserve">have reporting limits, </w:t>
      </w:r>
      <w:r w:rsidR="004D0E35">
        <w:t>so</w:t>
      </w:r>
      <w:r>
        <w:t xml:space="preserve"> we convert the PivotTable into </w:t>
      </w:r>
      <w:r w:rsidR="00833E96">
        <w:t xml:space="preserve">Excel CUBE FORMULAS. I will not explain in depth how these </w:t>
      </w:r>
      <w:r w:rsidR="00B26BB9">
        <w:t>CUBE FORMU</w:t>
      </w:r>
      <w:r w:rsidR="00C963AD">
        <w:t>LA</w:t>
      </w:r>
      <w:r w:rsidR="00CB04AD">
        <w:t>S</w:t>
      </w:r>
      <w:r w:rsidR="00833E96">
        <w:t xml:space="preserve"> work</w:t>
      </w:r>
      <w:r w:rsidR="00B71E8C">
        <w:t>,</w:t>
      </w:r>
      <w:r w:rsidR="00833E96">
        <w:t xml:space="preserve"> but will </w:t>
      </w:r>
      <w:r w:rsidR="007C5C96">
        <w:t>s</w:t>
      </w:r>
      <w:r>
        <w:t xml:space="preserve">how </w:t>
      </w:r>
      <w:r w:rsidR="00833E96">
        <w:t xml:space="preserve">the short cut </w:t>
      </w:r>
      <w:r>
        <w:t xml:space="preserve">available in </w:t>
      </w:r>
      <w:r w:rsidR="00833E96">
        <w:t>Excel</w:t>
      </w:r>
      <w:r w:rsidR="001E218F">
        <w:t xml:space="preserve"> </w:t>
      </w:r>
      <w:r w:rsidR="007C5C96">
        <w:t xml:space="preserve">to use CUBE FORMULAS </w:t>
      </w:r>
      <w:r w:rsidR="001E218F">
        <w:t xml:space="preserve">(see </w:t>
      </w:r>
      <w:hyperlink r:id="rId20" w:tgtFrame="_blank" w:history="1">
        <w:r w:rsidR="001E218F" w:rsidRPr="001E218F">
          <w:rPr>
            <w:rStyle w:val="Hyperlink"/>
            <w:rFonts w:ascii="Arial" w:hAnsi="Arial" w:cs="Arial"/>
            <w:color w:val="1155CC"/>
            <w:sz w:val="18"/>
            <w:szCs w:val="18"/>
            <w:shd w:val="clear" w:color="auto" w:fill="FFFFFF"/>
          </w:rPr>
          <w:t>https://www.excelcampus.com/cubevalue-formulas/</w:t>
        </w:r>
      </w:hyperlink>
      <w:r w:rsidR="00833E96">
        <w:t xml:space="preserve"> </w:t>
      </w:r>
      <w:r w:rsidR="001E218F">
        <w:t>for a good reference).</w:t>
      </w:r>
      <w:r>
        <w:br/>
      </w:r>
      <w:r>
        <w:br/>
      </w:r>
    </w:p>
    <w:p w14:paraId="28A1B875" w14:textId="77777777" w:rsidR="000A482A" w:rsidRDefault="000A482A">
      <w:r>
        <w:br w:type="page"/>
      </w:r>
    </w:p>
    <w:p w14:paraId="2D281F3F" w14:textId="77777777" w:rsidR="00DE5B5C" w:rsidRDefault="000A482A" w:rsidP="00E05B74">
      <w:r>
        <w:lastRenderedPageBreak/>
        <w:t xml:space="preserve">Here </w:t>
      </w:r>
      <w:r w:rsidR="00DF76A8">
        <w:t>are</w:t>
      </w:r>
      <w:r>
        <w:t xml:space="preserve"> the shortcut</w:t>
      </w:r>
      <w:r w:rsidR="00DF76A8">
        <w:t xml:space="preserve"> steps</w:t>
      </w:r>
      <w:r>
        <w:t xml:space="preserve">. </w:t>
      </w:r>
      <w:r w:rsidR="00156FA4">
        <w:t xml:space="preserve">Make sure the PivotTable is active. In the </w:t>
      </w:r>
      <w:r w:rsidR="004E116D">
        <w:t>R</w:t>
      </w:r>
      <w:r w:rsidR="00156FA4">
        <w:t xml:space="preserve">ibbon </w:t>
      </w:r>
      <w:r w:rsidR="00FE4189">
        <w:t>chose</w:t>
      </w:r>
      <w:r w:rsidR="00B8738D">
        <w:t>:</w:t>
      </w:r>
      <w:r w:rsidR="00797647">
        <w:br/>
      </w:r>
    </w:p>
    <w:p w14:paraId="505BD7A3" w14:textId="77777777" w:rsidR="00DE5B5C" w:rsidRDefault="00DE5B5C" w:rsidP="00DE5B5C">
      <w:pPr>
        <w:pStyle w:val="ListParagraph"/>
        <w:numPr>
          <w:ilvl w:val="0"/>
          <w:numId w:val="7"/>
        </w:numPr>
      </w:pPr>
      <w:r>
        <w:t>The</w:t>
      </w:r>
      <w:r w:rsidR="00156FA4">
        <w:t xml:space="preserve"> PivotTable Analysis</w:t>
      </w:r>
      <w:r w:rsidR="00FE4189">
        <w:t xml:space="preserve"> </w:t>
      </w:r>
      <w:r w:rsidR="00CE7499">
        <w:t>Tab</w:t>
      </w:r>
      <w:r w:rsidR="00156FA4">
        <w:t xml:space="preserve"> </w:t>
      </w:r>
    </w:p>
    <w:p w14:paraId="4FB55C5A" w14:textId="77777777" w:rsidR="00DE5B5C" w:rsidRDefault="00B8738D" w:rsidP="00DE5B5C">
      <w:pPr>
        <w:pStyle w:val="ListParagraph"/>
        <w:numPr>
          <w:ilvl w:val="0"/>
          <w:numId w:val="7"/>
        </w:numPr>
      </w:pPr>
      <w:r>
        <w:t>The</w:t>
      </w:r>
      <w:r w:rsidR="00156FA4">
        <w:t xml:space="preserve"> Calculations</w:t>
      </w:r>
      <w:r w:rsidR="005E5684">
        <w:t xml:space="preserve"> Group</w:t>
      </w:r>
      <w:r w:rsidR="00156FA4">
        <w:t xml:space="preserve"> </w:t>
      </w:r>
      <w:r w:rsidR="00B10973">
        <w:t>(</w:t>
      </w:r>
      <w:r w:rsidR="00B45BDF">
        <w:t>h</w:t>
      </w:r>
      <w:r w:rsidR="00B10973">
        <w:t>idden behin</w:t>
      </w:r>
      <w:r w:rsidR="009227FD">
        <w:t>d the</w:t>
      </w:r>
      <w:r w:rsidR="00B10973">
        <w:t xml:space="preserve"> </w:t>
      </w:r>
      <w:r w:rsidR="00CE4295">
        <w:t>drop-down</w:t>
      </w:r>
      <w:r w:rsidR="00B10973">
        <w:t xml:space="preserve"> menu)</w:t>
      </w:r>
    </w:p>
    <w:p w14:paraId="7AD352EC" w14:textId="77777777" w:rsidR="00DE5B5C" w:rsidRDefault="005E5684" w:rsidP="00DE5B5C">
      <w:pPr>
        <w:pStyle w:val="ListParagraph"/>
        <w:numPr>
          <w:ilvl w:val="0"/>
          <w:numId w:val="7"/>
        </w:numPr>
      </w:pPr>
      <w:r>
        <w:t xml:space="preserve">The </w:t>
      </w:r>
      <w:r w:rsidR="002C6932">
        <w:t>OLAP Tools</w:t>
      </w:r>
      <w:r>
        <w:t xml:space="preserve"> command</w:t>
      </w:r>
    </w:p>
    <w:p w14:paraId="7F86F2B6" w14:textId="7BA4C2D5" w:rsidR="002C6932" w:rsidRDefault="00A74821" w:rsidP="00DE5B5C">
      <w:pPr>
        <w:pStyle w:val="ListParagraph"/>
        <w:numPr>
          <w:ilvl w:val="0"/>
          <w:numId w:val="7"/>
        </w:numPr>
      </w:pPr>
      <w:r>
        <w:t xml:space="preserve">The </w:t>
      </w:r>
      <w:r w:rsidR="002C6932">
        <w:t>Convert to Formulas</w:t>
      </w:r>
      <w:r>
        <w:t xml:space="preserve"> menu item</w:t>
      </w:r>
      <w:r w:rsidR="002C6932">
        <w:br/>
      </w:r>
    </w:p>
    <w:p w14:paraId="15D9D9E1" w14:textId="37A42AAF" w:rsidR="000A482A" w:rsidRDefault="009729F1">
      <w:r>
        <w:rPr>
          <w:noProof/>
        </w:rPr>
        <w:drawing>
          <wp:inline distT="0" distB="0" distL="0" distR="0" wp14:anchorId="30064920" wp14:editId="03EAB68C">
            <wp:extent cx="6858000" cy="2492375"/>
            <wp:effectExtent l="0" t="0" r="0" b="3175"/>
            <wp:docPr id="28" name="Picture 28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table, Exc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3E5A" w14:textId="296B6633" w:rsidR="000A482A" w:rsidRDefault="000A482A">
      <w:r>
        <w:br/>
        <w:t>Note the dialog box and choose “Convert”</w:t>
      </w:r>
      <w:r w:rsidR="00840DFC">
        <w:t>.</w:t>
      </w:r>
    </w:p>
    <w:p w14:paraId="3F9CDE0E" w14:textId="596166A5" w:rsidR="000A482A" w:rsidRDefault="006428B9">
      <w:r>
        <w:rPr>
          <w:noProof/>
        </w:rPr>
        <w:drawing>
          <wp:inline distT="0" distB="0" distL="0" distR="0" wp14:anchorId="08ABB4D1" wp14:editId="33208AB4">
            <wp:extent cx="4669941" cy="1774090"/>
            <wp:effectExtent l="0" t="0" r="0" b="0"/>
            <wp:docPr id="25" name="Picture 2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Word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941" cy="17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05B7" w14:textId="4A248C85" w:rsidR="000A482A" w:rsidRDefault="000A482A">
      <w:r>
        <w:br/>
      </w:r>
    </w:p>
    <w:p w14:paraId="772FB7DC" w14:textId="77777777" w:rsidR="000A482A" w:rsidRDefault="000A482A">
      <w:r>
        <w:br w:type="page"/>
      </w:r>
    </w:p>
    <w:p w14:paraId="135B8C38" w14:textId="39B39C8D" w:rsidR="000565C5" w:rsidRDefault="002C6932" w:rsidP="007C6C08">
      <w:r>
        <w:lastRenderedPageBreak/>
        <w:t>The Pivot Table has been converted into CUBE F</w:t>
      </w:r>
      <w:r w:rsidR="00E22A0B">
        <w:t>ORMULAS</w:t>
      </w:r>
      <w:r>
        <w:t>. Note the formula for B</w:t>
      </w:r>
      <w:r w:rsidR="007A7431">
        <w:t>6</w:t>
      </w:r>
      <w:r>
        <w:t xml:space="preserve"> is </w:t>
      </w:r>
      <w:r w:rsidR="00272455" w:rsidRPr="00272455">
        <w:t>=</w:t>
      </w:r>
      <w:proofErr w:type="gramStart"/>
      <w:r w:rsidR="00272455" w:rsidRPr="00272455">
        <w:t>CUBEVALUE(</w:t>
      </w:r>
      <w:proofErr w:type="gramEnd"/>
      <w:r w:rsidR="00272455" w:rsidRPr="00272455">
        <w:t>"03_24_21__Loan_Credit Quality</w:t>
      </w:r>
      <w:r w:rsidR="001F747C">
        <w:t>2</w:t>
      </w:r>
      <w:r w:rsidR="00272455" w:rsidRPr="00272455">
        <w:t>",$B$1,</w:t>
      </w:r>
      <w:r w:rsidR="004150F1">
        <w:t>$B$2</w:t>
      </w:r>
      <w:r w:rsidR="001758CB">
        <w:t>,</w:t>
      </w:r>
      <w:r w:rsidR="00272455" w:rsidRPr="00272455">
        <w:t>$A$</w:t>
      </w:r>
      <w:r w:rsidR="001758CB">
        <w:t>4</w:t>
      </w:r>
      <w:r w:rsidR="00272455" w:rsidRPr="00272455">
        <w:t>,$A</w:t>
      </w:r>
      <w:r w:rsidR="001758CB">
        <w:t>6</w:t>
      </w:r>
      <w:r w:rsidR="00272455" w:rsidRPr="00272455">
        <w:t>,B$</w:t>
      </w:r>
      <w:r w:rsidR="001758CB">
        <w:t>5</w:t>
      </w:r>
      <w:r w:rsidR="00272455" w:rsidRPr="00272455">
        <w:t>)</w:t>
      </w:r>
      <w:r w:rsidR="00272455">
        <w:t>. Th</w:t>
      </w:r>
      <w:r w:rsidR="00D639D2">
        <w:t>e</w:t>
      </w:r>
      <w:r w:rsidR="00272455">
        <w:t xml:space="preserve"> formula</w:t>
      </w:r>
      <w:r w:rsidR="00D639D2">
        <w:t>s in this range</w:t>
      </w:r>
      <w:r w:rsidR="00272455">
        <w:t xml:space="preserve"> can be treated </w:t>
      </w:r>
      <w:r w:rsidR="007C5C96">
        <w:t xml:space="preserve">just </w:t>
      </w:r>
      <w:r w:rsidR="004F4DF1">
        <w:t>like any</w:t>
      </w:r>
      <w:r w:rsidR="00272455">
        <w:t xml:space="preserve"> regular cell</w:t>
      </w:r>
      <w:r w:rsidR="00D639D2">
        <w:t>s</w:t>
      </w:r>
      <w:r w:rsidR="007D552F">
        <w:t xml:space="preserve"> in Excel.</w:t>
      </w:r>
      <w:r>
        <w:br/>
      </w:r>
      <w:r>
        <w:br/>
      </w:r>
      <w:r w:rsidR="00AF76F4" w:rsidRPr="00AF76F4">
        <w:rPr>
          <w:noProof/>
        </w:rPr>
        <w:drawing>
          <wp:inline distT="0" distB="0" distL="0" distR="0" wp14:anchorId="7733E4A9" wp14:editId="2FCE1F2B">
            <wp:extent cx="6858000" cy="22421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455">
        <w:br/>
      </w:r>
      <w:r w:rsidR="00272455">
        <w:br/>
        <w:t xml:space="preserve">This range of cells can be configured and positioned in the desired report. </w:t>
      </w:r>
      <w:r w:rsidR="0067468A">
        <w:t>This</w:t>
      </w:r>
      <w:r w:rsidR="00000F89">
        <w:t xml:space="preserve"> is the dat</w:t>
      </w:r>
      <w:r w:rsidR="0067468A">
        <w:t>a</w:t>
      </w:r>
      <w:r w:rsidR="00000F89">
        <w:t xml:space="preserve"> warehouse data needed to calculate the Net Worth Concentration percentages</w:t>
      </w:r>
      <w:r w:rsidR="007C5C96">
        <w:t xml:space="preserve"> (</w:t>
      </w:r>
      <w:r w:rsidR="00B34FB4">
        <w:t>as</w:t>
      </w:r>
      <w:r w:rsidR="007C5C96">
        <w:t xml:space="preserve"> was shown previously)</w:t>
      </w:r>
      <w:r w:rsidR="00000F89">
        <w:t>.</w:t>
      </w:r>
    </w:p>
    <w:p w14:paraId="0EAB7755" w14:textId="77777777" w:rsidR="003805CF" w:rsidRDefault="00272455" w:rsidP="007C6C08">
      <w:r>
        <w:br/>
      </w:r>
      <w:r w:rsidR="000565C5">
        <w:rPr>
          <w:noProof/>
        </w:rPr>
        <w:drawing>
          <wp:inline distT="0" distB="0" distL="0" distR="0" wp14:anchorId="479DCA11" wp14:editId="0263B6AB">
            <wp:extent cx="6858000" cy="1501775"/>
            <wp:effectExtent l="0" t="0" r="0" b="317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5C5">
        <w:br/>
      </w:r>
    </w:p>
    <w:p w14:paraId="20BDF95A" w14:textId="77777777" w:rsidR="003805CF" w:rsidRDefault="003805CF">
      <w:r>
        <w:br w:type="page"/>
      </w:r>
    </w:p>
    <w:p w14:paraId="142195BF" w14:textId="4CB58E61" w:rsidR="003805CF" w:rsidRDefault="000565C5" w:rsidP="007C6C08">
      <w:r>
        <w:lastRenderedPageBreak/>
        <w:br/>
      </w:r>
      <w:r w:rsidR="003805CF">
        <w:t xml:space="preserve">All the data elements of the are now in place to generate the Risk Concentration Report. Here </w:t>
      </w:r>
      <w:r w:rsidR="007C5C96">
        <w:t>are</w:t>
      </w:r>
      <w:r w:rsidR="003805CF">
        <w:t xml:space="preserve"> the key ranges used by the Excel worksheet</w:t>
      </w:r>
      <w:r w:rsidR="005B562F">
        <w:t xml:space="preserve"> that generates the report.</w:t>
      </w:r>
      <w:r w:rsidR="005B562F" w:rsidRPr="005B562F">
        <w:t xml:space="preserve"> </w:t>
      </w:r>
      <w:r w:rsidR="005B562F">
        <w:br/>
      </w:r>
      <w:r w:rsidR="005B562F">
        <w:br/>
      </w:r>
      <w:r w:rsidR="001B0039" w:rsidRPr="001B0039">
        <w:rPr>
          <w:noProof/>
        </w:rPr>
        <w:drawing>
          <wp:inline distT="0" distB="0" distL="0" distR="0" wp14:anchorId="6C240BBB" wp14:editId="502198CC">
            <wp:extent cx="6858000" cy="50590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015D" w14:textId="7B0211A4" w:rsidR="00CC6A71" w:rsidRDefault="00CC6A71" w:rsidP="007C6C08"/>
    <w:p w14:paraId="196BBE03" w14:textId="3D93BBAC" w:rsidR="00CC6A71" w:rsidRDefault="00CC6A71" w:rsidP="007C6C08">
      <w:r>
        <w:t>According to the NCUA’s Supervisory Letter - Concentration Risk</w:t>
      </w:r>
      <w:r w:rsidR="007C5C96">
        <w:t>,</w:t>
      </w:r>
      <w:r>
        <w:t xml:space="preserve"> Credit Unions are required to “identify, measure, monitor and control concentration risk</w:t>
      </w:r>
      <w:r w:rsidR="00823A94">
        <w:t>”</w:t>
      </w:r>
      <w:r>
        <w:t xml:space="preserve"> and “Maintain Comprehensive and Accurate Data” and “Management reporting must be periodic and timely…”. </w:t>
      </w:r>
      <w:r>
        <w:br/>
      </w:r>
      <w:r>
        <w:br/>
        <w:t>By using th</w:t>
      </w:r>
      <w:r w:rsidR="00120526">
        <w:t>is</w:t>
      </w:r>
      <w:r>
        <w:t xml:space="preserve"> integrated </w:t>
      </w:r>
      <w:r w:rsidR="00405364">
        <w:t>approach</w:t>
      </w:r>
      <w:r>
        <w:t xml:space="preserve"> of adopting a Data Warehouse</w:t>
      </w:r>
      <w:r w:rsidR="007C5C96">
        <w:t xml:space="preserve">, </w:t>
      </w:r>
      <w:r>
        <w:t xml:space="preserve">enhanced by </w:t>
      </w:r>
      <w:r w:rsidR="003C7211">
        <w:t>a</w:t>
      </w:r>
      <w:r w:rsidR="00405364">
        <w:t xml:space="preserve"> </w:t>
      </w:r>
      <w:r>
        <w:t xml:space="preserve">Power BI </w:t>
      </w:r>
      <w:r w:rsidR="00405364">
        <w:t>d</w:t>
      </w:r>
      <w:r>
        <w:t>ataset</w:t>
      </w:r>
      <w:r w:rsidR="00AB644D">
        <w:t>,</w:t>
      </w:r>
      <w:r>
        <w:t xml:space="preserve"> </w:t>
      </w:r>
      <w:r w:rsidR="003A33E9">
        <w:t>building</w:t>
      </w:r>
      <w:r>
        <w:t xml:space="preserve"> Excel CUBE formulas </w:t>
      </w:r>
      <w:r w:rsidR="003A33E9">
        <w:t>t</w:t>
      </w:r>
      <w:r w:rsidR="003C7211">
        <w:t>hat</w:t>
      </w:r>
      <w:r w:rsidR="003A33E9">
        <w:t xml:space="preserve"> access the</w:t>
      </w:r>
      <w:r>
        <w:t xml:space="preserve"> P</w:t>
      </w:r>
      <w:r w:rsidR="00AB644D">
        <w:t>ower BI</w:t>
      </w:r>
      <w:r>
        <w:t xml:space="preserve"> dataset, a Credit Union can build an important report for the Board and Management</w:t>
      </w:r>
      <w:r w:rsidR="00AB644D">
        <w:t xml:space="preserve"> to manage the Credit Unions Loan Concentration Risk. Plus, it </w:t>
      </w:r>
      <w:r w:rsidR="00AB644D">
        <w:lastRenderedPageBreak/>
        <w:t>is very likely this integrated method can be used to solve other reporting needs the Credit Union may have.</w:t>
      </w:r>
    </w:p>
    <w:p w14:paraId="01E86B0C" w14:textId="77777777" w:rsidR="004F4DF1" w:rsidRDefault="004F4DF1" w:rsidP="007C6C08"/>
    <w:p w14:paraId="35F863BB" w14:textId="3BE2ABDF" w:rsidR="007C6C08" w:rsidRPr="007C6C08" w:rsidRDefault="00CB2323" w:rsidP="007C6C08">
      <w:r>
        <w:t>Notes</w:t>
      </w:r>
      <w:r>
        <w:br/>
      </w:r>
      <w:r>
        <w:br/>
        <w:t xml:space="preserve">(1) </w:t>
      </w:r>
      <w:r w:rsidRPr="00CB2323">
        <w:t>https://www.ncua.gov/regulation-supervision/letters-credit-unions-other-guidance/concentration-risk</w:t>
      </w:r>
      <w:r>
        <w:br/>
      </w:r>
    </w:p>
    <w:sectPr w:rsidR="007C6C08" w:rsidRPr="007C6C08" w:rsidSect="00AC7079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181E7" w14:textId="77777777" w:rsidR="00000340" w:rsidRDefault="00000340" w:rsidP="00000F89">
      <w:pPr>
        <w:spacing w:after="0" w:line="240" w:lineRule="auto"/>
      </w:pPr>
      <w:r>
        <w:separator/>
      </w:r>
    </w:p>
  </w:endnote>
  <w:endnote w:type="continuationSeparator" w:id="0">
    <w:p w14:paraId="4805F91B" w14:textId="77777777" w:rsidR="00000340" w:rsidRDefault="00000340" w:rsidP="00000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3297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FAA1A4" w14:textId="2F45E60B" w:rsidR="00000F89" w:rsidRDefault="00000F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E5BEBE" w14:textId="77777777" w:rsidR="00000F89" w:rsidRDefault="00000F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A7546" w14:textId="77777777" w:rsidR="00000340" w:rsidRDefault="00000340" w:rsidP="00000F89">
      <w:pPr>
        <w:spacing w:after="0" w:line="240" w:lineRule="auto"/>
      </w:pPr>
      <w:r>
        <w:separator/>
      </w:r>
    </w:p>
  </w:footnote>
  <w:footnote w:type="continuationSeparator" w:id="0">
    <w:p w14:paraId="63DB724F" w14:textId="77777777" w:rsidR="00000340" w:rsidRDefault="00000340" w:rsidP="00000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65874"/>
    <w:multiLevelType w:val="hybridMultilevel"/>
    <w:tmpl w:val="5D96B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63086"/>
    <w:multiLevelType w:val="hybridMultilevel"/>
    <w:tmpl w:val="86502B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345472"/>
    <w:multiLevelType w:val="hybridMultilevel"/>
    <w:tmpl w:val="C3703432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155E7AC3"/>
    <w:multiLevelType w:val="hybridMultilevel"/>
    <w:tmpl w:val="C3703432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1B5D7289"/>
    <w:multiLevelType w:val="hybridMultilevel"/>
    <w:tmpl w:val="95183B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F5FAE"/>
    <w:multiLevelType w:val="hybridMultilevel"/>
    <w:tmpl w:val="AD5AC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B1BB9"/>
    <w:multiLevelType w:val="hybridMultilevel"/>
    <w:tmpl w:val="613A4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E3A"/>
    <w:multiLevelType w:val="hybridMultilevel"/>
    <w:tmpl w:val="76B8E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05638"/>
    <w:multiLevelType w:val="hybridMultilevel"/>
    <w:tmpl w:val="F31053D4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9" w15:restartNumberingAfterBreak="0">
    <w:nsid w:val="7F85643A"/>
    <w:multiLevelType w:val="hybridMultilevel"/>
    <w:tmpl w:val="B5AE4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6E7"/>
    <w:rsid w:val="00000340"/>
    <w:rsid w:val="00000F89"/>
    <w:rsid w:val="000015D1"/>
    <w:rsid w:val="00013DAB"/>
    <w:rsid w:val="000248E4"/>
    <w:rsid w:val="00027D37"/>
    <w:rsid w:val="0003575E"/>
    <w:rsid w:val="00042EF3"/>
    <w:rsid w:val="00047B99"/>
    <w:rsid w:val="0005565D"/>
    <w:rsid w:val="00055AB4"/>
    <w:rsid w:val="000563DA"/>
    <w:rsid w:val="000565C5"/>
    <w:rsid w:val="000901C0"/>
    <w:rsid w:val="00093764"/>
    <w:rsid w:val="00094AD9"/>
    <w:rsid w:val="000A482A"/>
    <w:rsid w:val="000F0C26"/>
    <w:rsid w:val="000F2961"/>
    <w:rsid w:val="00115DAF"/>
    <w:rsid w:val="00117EE0"/>
    <w:rsid w:val="00120526"/>
    <w:rsid w:val="0012453A"/>
    <w:rsid w:val="00135DEC"/>
    <w:rsid w:val="00156FA4"/>
    <w:rsid w:val="00161234"/>
    <w:rsid w:val="00173E5B"/>
    <w:rsid w:val="001758CB"/>
    <w:rsid w:val="00176161"/>
    <w:rsid w:val="001937AA"/>
    <w:rsid w:val="001977D8"/>
    <w:rsid w:val="001B0039"/>
    <w:rsid w:val="001D2C13"/>
    <w:rsid w:val="001D66FA"/>
    <w:rsid w:val="001E218F"/>
    <w:rsid w:val="001F1441"/>
    <w:rsid w:val="001F747C"/>
    <w:rsid w:val="0020557E"/>
    <w:rsid w:val="00230005"/>
    <w:rsid w:val="0023017F"/>
    <w:rsid w:val="00243A4E"/>
    <w:rsid w:val="00272455"/>
    <w:rsid w:val="002774DA"/>
    <w:rsid w:val="002A6455"/>
    <w:rsid w:val="002C14BF"/>
    <w:rsid w:val="002C6932"/>
    <w:rsid w:val="002D1493"/>
    <w:rsid w:val="002E05B5"/>
    <w:rsid w:val="002E60C8"/>
    <w:rsid w:val="00360CD6"/>
    <w:rsid w:val="00365A44"/>
    <w:rsid w:val="003805CF"/>
    <w:rsid w:val="003A33E9"/>
    <w:rsid w:val="003A6AF9"/>
    <w:rsid w:val="003C7211"/>
    <w:rsid w:val="003E28C2"/>
    <w:rsid w:val="0040533A"/>
    <w:rsid w:val="00405364"/>
    <w:rsid w:val="00411C24"/>
    <w:rsid w:val="004150F1"/>
    <w:rsid w:val="0041613C"/>
    <w:rsid w:val="00440740"/>
    <w:rsid w:val="00496C9B"/>
    <w:rsid w:val="004D0E35"/>
    <w:rsid w:val="004D2B3D"/>
    <w:rsid w:val="004E116D"/>
    <w:rsid w:val="004F4DF1"/>
    <w:rsid w:val="00511CC6"/>
    <w:rsid w:val="00547CAF"/>
    <w:rsid w:val="00567AD0"/>
    <w:rsid w:val="00580E96"/>
    <w:rsid w:val="00586250"/>
    <w:rsid w:val="005B562F"/>
    <w:rsid w:val="005D0A55"/>
    <w:rsid w:val="005D5F43"/>
    <w:rsid w:val="005E5684"/>
    <w:rsid w:val="005E6108"/>
    <w:rsid w:val="005F1F4C"/>
    <w:rsid w:val="005F5C44"/>
    <w:rsid w:val="00600890"/>
    <w:rsid w:val="00616320"/>
    <w:rsid w:val="00616AEE"/>
    <w:rsid w:val="006276B6"/>
    <w:rsid w:val="006428B9"/>
    <w:rsid w:val="00665313"/>
    <w:rsid w:val="0067468A"/>
    <w:rsid w:val="00684318"/>
    <w:rsid w:val="006B345C"/>
    <w:rsid w:val="006D6EA4"/>
    <w:rsid w:val="006F04A0"/>
    <w:rsid w:val="006F3240"/>
    <w:rsid w:val="00704FE1"/>
    <w:rsid w:val="00706101"/>
    <w:rsid w:val="007106E5"/>
    <w:rsid w:val="0074001B"/>
    <w:rsid w:val="007576AE"/>
    <w:rsid w:val="00760008"/>
    <w:rsid w:val="00763964"/>
    <w:rsid w:val="0076497F"/>
    <w:rsid w:val="00765A04"/>
    <w:rsid w:val="0077063A"/>
    <w:rsid w:val="00775B0F"/>
    <w:rsid w:val="00776AA8"/>
    <w:rsid w:val="00797647"/>
    <w:rsid w:val="007A7431"/>
    <w:rsid w:val="007C0E1D"/>
    <w:rsid w:val="007C5C96"/>
    <w:rsid w:val="007C6C08"/>
    <w:rsid w:val="007D552F"/>
    <w:rsid w:val="007E3D02"/>
    <w:rsid w:val="007E4DDC"/>
    <w:rsid w:val="007E4FB2"/>
    <w:rsid w:val="00820661"/>
    <w:rsid w:val="00820D46"/>
    <w:rsid w:val="00823A94"/>
    <w:rsid w:val="00833E96"/>
    <w:rsid w:val="00840DFC"/>
    <w:rsid w:val="00840F27"/>
    <w:rsid w:val="008576E7"/>
    <w:rsid w:val="00866B1A"/>
    <w:rsid w:val="00870E6C"/>
    <w:rsid w:val="0089445C"/>
    <w:rsid w:val="0089496B"/>
    <w:rsid w:val="00904310"/>
    <w:rsid w:val="00920DC6"/>
    <w:rsid w:val="009227FD"/>
    <w:rsid w:val="009729F1"/>
    <w:rsid w:val="00984135"/>
    <w:rsid w:val="009C6C83"/>
    <w:rsid w:val="009D6A68"/>
    <w:rsid w:val="009F1244"/>
    <w:rsid w:val="009F384E"/>
    <w:rsid w:val="00A00482"/>
    <w:rsid w:val="00A00F91"/>
    <w:rsid w:val="00A06252"/>
    <w:rsid w:val="00A343AE"/>
    <w:rsid w:val="00A52564"/>
    <w:rsid w:val="00A55937"/>
    <w:rsid w:val="00A74821"/>
    <w:rsid w:val="00AA06CF"/>
    <w:rsid w:val="00AB5DA7"/>
    <w:rsid w:val="00AB644D"/>
    <w:rsid w:val="00AC7079"/>
    <w:rsid w:val="00AF76F4"/>
    <w:rsid w:val="00B10973"/>
    <w:rsid w:val="00B24DB6"/>
    <w:rsid w:val="00B26BB9"/>
    <w:rsid w:val="00B34FB4"/>
    <w:rsid w:val="00B45BDF"/>
    <w:rsid w:val="00B551B5"/>
    <w:rsid w:val="00B55310"/>
    <w:rsid w:val="00B71E8C"/>
    <w:rsid w:val="00B73A51"/>
    <w:rsid w:val="00B76B98"/>
    <w:rsid w:val="00B835DD"/>
    <w:rsid w:val="00B8738D"/>
    <w:rsid w:val="00B874D1"/>
    <w:rsid w:val="00BB27F6"/>
    <w:rsid w:val="00BB2FCB"/>
    <w:rsid w:val="00BD678A"/>
    <w:rsid w:val="00C12FED"/>
    <w:rsid w:val="00C36788"/>
    <w:rsid w:val="00C37A77"/>
    <w:rsid w:val="00C45AA6"/>
    <w:rsid w:val="00C55684"/>
    <w:rsid w:val="00C920FF"/>
    <w:rsid w:val="00C963AD"/>
    <w:rsid w:val="00CA6073"/>
    <w:rsid w:val="00CB04AD"/>
    <w:rsid w:val="00CB2323"/>
    <w:rsid w:val="00CC1FF0"/>
    <w:rsid w:val="00CC6A71"/>
    <w:rsid w:val="00CE1DFF"/>
    <w:rsid w:val="00CE26A8"/>
    <w:rsid w:val="00CE4295"/>
    <w:rsid w:val="00CE4313"/>
    <w:rsid w:val="00CE7499"/>
    <w:rsid w:val="00D017D5"/>
    <w:rsid w:val="00D12DF1"/>
    <w:rsid w:val="00D21EA2"/>
    <w:rsid w:val="00D251EE"/>
    <w:rsid w:val="00D3029A"/>
    <w:rsid w:val="00D3462D"/>
    <w:rsid w:val="00D45876"/>
    <w:rsid w:val="00D55759"/>
    <w:rsid w:val="00D63385"/>
    <w:rsid w:val="00D639D2"/>
    <w:rsid w:val="00D64C99"/>
    <w:rsid w:val="00D84057"/>
    <w:rsid w:val="00D92E8D"/>
    <w:rsid w:val="00DB489D"/>
    <w:rsid w:val="00DB491C"/>
    <w:rsid w:val="00DB6EA8"/>
    <w:rsid w:val="00DD0BC5"/>
    <w:rsid w:val="00DD5B0A"/>
    <w:rsid w:val="00DE402F"/>
    <w:rsid w:val="00DE5B5C"/>
    <w:rsid w:val="00DF76A8"/>
    <w:rsid w:val="00E05B74"/>
    <w:rsid w:val="00E072CC"/>
    <w:rsid w:val="00E22A0B"/>
    <w:rsid w:val="00E36FF1"/>
    <w:rsid w:val="00E56259"/>
    <w:rsid w:val="00E70B80"/>
    <w:rsid w:val="00E715FA"/>
    <w:rsid w:val="00E97BF4"/>
    <w:rsid w:val="00EB5F25"/>
    <w:rsid w:val="00EE42A3"/>
    <w:rsid w:val="00EE46E7"/>
    <w:rsid w:val="00EF1907"/>
    <w:rsid w:val="00F0236F"/>
    <w:rsid w:val="00F04CEC"/>
    <w:rsid w:val="00F15492"/>
    <w:rsid w:val="00F17DDA"/>
    <w:rsid w:val="00F20AA1"/>
    <w:rsid w:val="00F2578F"/>
    <w:rsid w:val="00F56BBB"/>
    <w:rsid w:val="00F643F5"/>
    <w:rsid w:val="00F718F7"/>
    <w:rsid w:val="00FB21D2"/>
    <w:rsid w:val="00FE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F99E2"/>
  <w15:chartTrackingRefBased/>
  <w15:docId w15:val="{F0238BB4-BE41-440C-900F-FA14E924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D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E46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6C0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6C08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unhideWhenUsed/>
    <w:rsid w:val="001E218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0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F89"/>
  </w:style>
  <w:style w:type="paragraph" w:styleId="Footer">
    <w:name w:val="footer"/>
    <w:basedOn w:val="Normal"/>
    <w:link w:val="FooterChar"/>
    <w:uiPriority w:val="99"/>
    <w:unhideWhenUsed/>
    <w:rsid w:val="00000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F89"/>
  </w:style>
  <w:style w:type="paragraph" w:styleId="ListParagraph">
    <w:name w:val="List Paragraph"/>
    <w:basedOn w:val="Normal"/>
    <w:uiPriority w:val="34"/>
    <w:qFormat/>
    <w:rsid w:val="00775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excelcampus.com/cubevalue-formula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0AD6559B4DC94386890A9B92B521DA" ma:contentTypeVersion="12" ma:contentTypeDescription="Create a new document." ma:contentTypeScope="" ma:versionID="de3f3066803027a9a64e9873c265eee7">
  <xsd:schema xmlns:xsd="http://www.w3.org/2001/XMLSchema" xmlns:xs="http://www.w3.org/2001/XMLSchema" xmlns:p="http://schemas.microsoft.com/office/2006/metadata/properties" xmlns:ns3="8020cce0-10ff-444e-ae27-aa6a777962ed" xmlns:ns4="350942d9-59ca-4cd1-8c3d-8c4054e4d501" targetNamespace="http://schemas.microsoft.com/office/2006/metadata/properties" ma:root="true" ma:fieldsID="95ab192efd859649a09567082cea0918" ns3:_="" ns4:_="">
    <xsd:import namespace="8020cce0-10ff-444e-ae27-aa6a777962ed"/>
    <xsd:import namespace="350942d9-59ca-4cd1-8c3d-8c4054e4d5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0cce0-10ff-444e-ae27-aa6a77796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942d9-59ca-4cd1-8c3d-8c4054e4d50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4F1ED3-54B1-418B-B6DE-304DD61C0089}">
  <ds:schemaRefs>
    <ds:schemaRef ds:uri="http://schemas.microsoft.com/office/2006/metadata/properties"/>
    <ds:schemaRef ds:uri="8020cce0-10ff-444e-ae27-aa6a777962ed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350942d9-59ca-4cd1-8c3d-8c4054e4d50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C21A37-F188-479D-83F8-CDAEDF37B8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E1EE59-BA20-48FC-873D-806FE47D1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20cce0-10ff-444e-ae27-aa6a777962ed"/>
    <ds:schemaRef ds:uri="350942d9-59ca-4cd1-8c3d-8c4054e4d5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D06B7C-816A-4AF3-9D0D-E80108856C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Butler</dc:creator>
  <cp:keywords/>
  <dc:description/>
  <cp:lastModifiedBy>Bill Butler</cp:lastModifiedBy>
  <cp:revision>2</cp:revision>
  <cp:lastPrinted>2021-06-22T17:43:00Z</cp:lastPrinted>
  <dcterms:created xsi:type="dcterms:W3CDTF">2021-06-24T14:31:00Z</dcterms:created>
  <dcterms:modified xsi:type="dcterms:W3CDTF">2021-06-24T14:31:00Z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0x010100610AD6559B4DC94386890A9B92B521DA</vt:lpwstr>
  </property>
</Properties>
</file>